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1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Лабораторная работа №</w:t>
      </w:r>
      <w:bookmarkStart w:colFirst="0" w:colLast="0" w:name="bookmark=id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0"/>
        <w:numPr>
          <w:ilvl w:val="2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430"/>
        </w:tabs>
        <w:spacing w:after="333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 №1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Изучение основных при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highlight w:val="white"/>
          <w:u w:val="single"/>
          <w:vertAlign w:val="baseline"/>
          <w:rtl w:val="0"/>
        </w:rPr>
        <w:t xml:space="preserve">нци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пов организации и построения консоли администрирования MMC в ОС Windows XP.</w:t>
      </w:r>
      <w:bookmarkStart w:colFirst="0" w:colLast="0" w:name="bookmark=id.tyjcwt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1"/>
        <w:keepLines w:val="1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04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Порядок выполнения: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970"/>
        </w:tabs>
        <w:spacing w:after="285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консоли администрирования MMC </w:t>
      </w:r>
      <w:bookmarkStart w:colFirst="0" w:colLast="0" w:name="bookmark=id.3dy6vkm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авторском режиме требует выполнения следующих действий: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4"/>
        </w:tabs>
        <w:spacing w:after="37" w:before="0" w:line="240" w:lineRule="auto"/>
        <w:ind w:right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4"/>
        </w:tabs>
        <w:spacing w:after="37" w:before="0" w:line="240" w:lineRule="auto"/>
        <w:ind w:right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1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14"/>
        </w:tabs>
        <w:spacing w:after="37" w:before="0" w:line="240" w:lineRule="auto"/>
        <w:ind w:right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8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Контрольный вопрос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Почему результат манипуляций при настройке вида консоли администрирования MMC не сохранился при повторном ее запуске?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Что необходимо сделать для того, чтобы сохранить указанные выше изменения вида консоли?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1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1"/>
          <w:sz w:val="28"/>
          <w:szCs w:val="28"/>
          <w:rtl w:val="0"/>
        </w:rPr>
        <w:t xml:space="preserve">Из-за установленного флажка “не сохранять изменения для этой консоли”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0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20"/>
        </w:tabs>
        <w:spacing w:after="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Добавление различных элементов и компонентов к дереву консоли администрирования MMC предназначено для конфигурирования консоли с целью придания ей уникальных функций и оптимизации ее работы в целом.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3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3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3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3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3" w:before="0" w:line="24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4"/>
        </w:tabs>
        <w:spacing w:after="0" w:before="0" w:line="240" w:lineRule="auto"/>
        <w:ind w:left="0" w:right="20" w:firstLine="993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последовательно перебирая доступные в системе оснастки, найдите те из них, которые обладают дополнительным меню, панелью инструментов или расширениями,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4"/>
        </w:tabs>
        <w:spacing w:after="42" w:before="0" w:line="240" w:lineRule="auto"/>
        <w:ind w:left="0" w:right="0" w:firstLine="993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изучите полученный результат и сделайте вывод о проделанной работе,</w:t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69"/>
        </w:tabs>
        <w:spacing w:after="304" w:before="0" w:line="240" w:lineRule="auto"/>
        <w:ind w:left="0" w:right="0" w:firstLine="993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запишите полученную информацию в отчет, заполнив табл. 4.1.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Таблица 4.1. Результат поиска оснастки</w:t>
      </w:r>
    </w:p>
    <w:tbl>
      <w:tblPr>
        <w:tblStyle w:val="Table1"/>
        <w:tblW w:w="8764.0" w:type="dxa"/>
        <w:jc w:val="center"/>
        <w:tblLayout w:type="fixed"/>
        <w:tblLook w:val="0000"/>
      </w:tblPr>
      <w:tblGrid>
        <w:gridCol w:w="811"/>
        <w:gridCol w:w="2174"/>
        <w:gridCol w:w="5779"/>
        <w:tblGridChange w:id="0">
          <w:tblGrid>
            <w:gridCol w:w="811"/>
            <w:gridCol w:w="2174"/>
            <w:gridCol w:w="5779"/>
          </w:tblGrid>
        </w:tblGridChange>
      </w:tblGrid>
      <w:tr>
        <w:trPr>
          <w:cantSplit w:val="0"/>
          <w:trHeight w:val="101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2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№</w:t>
            </w:r>
          </w:p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0" w:line="240" w:lineRule="auto"/>
              <w:ind w:left="28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п/п.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8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Оснастка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8" w:val="single"/>
              <w:right w:color="000000" w:space="0" w:sz="4" w:val="single"/>
            </w:tcBorders>
            <w:shd w:fill="ffffff" w:val="clear"/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Результат поиска и вывод по способу применения дополнительных меню, панелей инструментов и/или расширений оснасток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ind w:left="280" w:firstLine="0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Диспетчер устройств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Дополнительное меню в Диспетчере устройств позволяет просматривать свойства устройств, устанавливать драйверы и выполнять другие действия.</w:t>
            </w:r>
          </w:p>
        </w:tc>
      </w:tr>
      <w:tr>
        <w:trPr>
          <w:cantSplit w:val="0"/>
          <w:trHeight w:val="389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Службы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Панель инструментов в Службах предоставляет возможность запуска, остановки и настройки служб в операционной системе.</w:t>
            </w:r>
          </w:p>
        </w:tc>
      </w:tr>
      <w:tr>
        <w:trPr>
          <w:cantSplit w:val="0"/>
          <w:trHeight w:val="394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Дисковое управление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Расширение в Дисковом управлении позволяет создавать, удалять и форматировать разделы на жестком диске.</w:t>
            </w:r>
          </w:p>
        </w:tc>
      </w:tr>
      <w:tr>
        <w:trPr>
          <w:cantSplit w:val="0"/>
          <w:trHeight w:val="422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Планировщик заданий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widowControl w:val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Дополнительное меню в Планировщике заданий предоставляет возможность создания заданий, настройки расписания и выполнения автоматических действий.</w:t>
            </w:r>
          </w:p>
        </w:tc>
      </w:tr>
    </w:tbl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"/>
          <w:szCs w:val="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36" w:before="0" w:line="240" w:lineRule="auto"/>
        <w:ind w:left="0" w:right="2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9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9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9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9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9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299525" cy="4724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9525" cy="472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9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9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Контрольный вопрос: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Создайте новую задачу текущей панели в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виде командного файла, взятого из предыдущей лабораторной работы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Запишите последовательность действий по реализации данного задания в отчет.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Важной особенностью при построении и организации консоли администрирования MMC является возможность добавления элементов и компонентов дерева консоли в виде списка ярлыков в меню «Избранное». Для добавления элемента или компонента в авторском режиме выполните следующее: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95"/>
        </w:tabs>
        <w:spacing w:after="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Создайте новую Консоль управления MMC одним их описанных в пункте I текущего учебного задания способов.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18"/>
        </w:tabs>
        <w:spacing w:after="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дереве консоли кликните элемент или компонент (в нашем случае это оснастка), который нужно добавить в список «Избранное».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14"/>
        </w:tabs>
        <w:spacing w:after="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области сведений выберите вкладку вида панели задач, которую нужно добавить, в случае, если для элемента или компонента, указанного в дереве консоли, настроен вид панели задач. В противном случае в области сведений вкладки не видны.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14"/>
        </w:tabs>
        <w:spacing w:after="0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Выберите в меню Избранное команду Добавить в избранное.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28"/>
        </w:tabs>
        <w:spacing w:after="0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поле Создать в диалогового окна Добавление в папку «Избранное»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выполните указанные ниже действия: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8"/>
        </w:tabs>
        <w:spacing w:after="0" w:before="0" w:line="240" w:lineRule="auto"/>
        <w:ind w:left="1280" w:right="20" w:hanging="2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создайте новую папку с названием, выбранным самостоятельно, кликнув папку, которая будет выступать в качестве родительской для создаваемой папки и нажав кнопку Создать папку,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8"/>
        </w:tabs>
        <w:spacing w:after="0" w:before="0" w:line="240" w:lineRule="auto"/>
        <w:ind w:left="1280" w:right="0" w:hanging="2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нажмите кнопку OK для ввода,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4"/>
        </w:tabs>
        <w:spacing w:after="32" w:before="0" w:line="240" w:lineRule="auto"/>
        <w:ind w:left="1280" w:right="0" w:hanging="2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поле Имя папки введите имя, под которым будет добавлен элемент,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4"/>
        </w:tabs>
        <w:spacing w:after="32" w:before="0" w:line="240" w:lineRule="auto"/>
        <w:ind w:left="1280" w:right="0" w:hanging="2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кликните OK для подтверждения ввода.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009"/>
        </w:tabs>
        <w:spacing w:after="304" w:before="0" w:line="240" w:lineRule="auto"/>
        <w:ind w:left="20" w:right="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 закрывая консоль администрирования MMC, сохраните ее.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0" w:right="20" w:firstLine="72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Упорядочите «Избранное» сохраненной консоли администрирования MMC, выполнив следующие действия:</w:t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69"/>
        </w:tabs>
        <w:spacing w:after="0" w:before="0" w:line="240" w:lineRule="auto"/>
        <w:ind w:left="1280" w:right="20" w:hanging="2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добавьте новую папку, введя ее имя в соответствующее поле и кликнув OK для подтверждения ввода,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4"/>
        </w:tabs>
        <w:spacing w:after="0" w:before="0" w:line="240" w:lineRule="auto"/>
        <w:ind w:left="1280" w:right="20" w:hanging="2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переместите элемент, созданный в пункте 5 настоящего задания, в новую, только что созданную, папку и кликните OK для ввода,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4"/>
        </w:tabs>
        <w:spacing w:after="0" w:before="0" w:line="240" w:lineRule="auto"/>
        <w:ind w:left="1280" w:right="20" w:hanging="2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переименуйте выбранный элемент и нажмите клавишу Enter для подтверждения ввода,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69"/>
        </w:tabs>
        <w:spacing w:after="32" w:before="0" w:line="240" w:lineRule="auto"/>
        <w:ind w:left="1280" w:right="0" w:hanging="2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удалите все элементы, расположенные ниже папки «Избранное»,</w:t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274"/>
        </w:tabs>
        <w:spacing w:after="0" w:before="0" w:line="240" w:lineRule="auto"/>
        <w:ind w:left="1280" w:right="0" w:hanging="28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нажмите Закрыть для завершения задания,</w:t>
      </w:r>
    </w:p>
    <w:p w:rsidR="00000000" w:rsidDel="00000000" w:rsidP="00000000" w:rsidRDefault="00000000" w:rsidRPr="00000000" w14:paraId="00000043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94"/>
        </w:tabs>
        <w:spacing w:after="37" w:before="0" w:line="240" w:lineRule="auto"/>
        <w:ind w:left="11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изучите полученный результат,</w:t>
      </w:r>
    </w:p>
    <w:p w:rsidR="00000000" w:rsidDel="00000000" w:rsidP="00000000" w:rsidRDefault="00000000" w:rsidRPr="00000000" w14:paraId="00000044">
      <w:pPr>
        <w:keepNext w:val="0"/>
        <w:keepLines w:val="0"/>
        <w:pageBreakBefore w:val="0"/>
        <w:widowControl w:val="0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1398"/>
        </w:tabs>
        <w:spacing w:after="411" w:before="0" w:line="240" w:lineRule="auto"/>
        <w:ind w:left="112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сделайте вывод о проделанной работе и запишите его в отчет.</w:t>
      </w:r>
    </w:p>
    <w:p w:rsidR="00000000" w:rsidDel="00000000" w:rsidP="00000000" w:rsidRDefault="00000000" w:rsidRPr="00000000" w14:paraId="0000004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4" w:before="0" w:line="240" w:lineRule="auto"/>
        <w:ind w:left="708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Стандартные консоли ОС Windows XP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96" w:before="0" w:line="240" w:lineRule="auto"/>
        <w:ind w:left="68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Список штатных консолей ММС, применяемых в ОС Windows XP с целью администрирования, мониторинга, оптимизации и аудита, приведен в табл. 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68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Таблица Стандартные консоли ММС в ОС Windows XP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8943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730"/>
        <w:gridCol w:w="3322"/>
        <w:gridCol w:w="4891"/>
        <w:tblGridChange w:id="0">
          <w:tblGrid>
            <w:gridCol w:w="730"/>
            <w:gridCol w:w="3322"/>
            <w:gridCol w:w="4891"/>
          </w:tblGrid>
        </w:tblGridChange>
      </w:tblGrid>
      <w:tr>
        <w:trPr>
          <w:cantSplit w:val="0"/>
          <w:trHeight w:val="706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№</w:t>
            </w:r>
          </w:p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6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п/п.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3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Файл консоли ММС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dfrg.msc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Дефрагментация дисков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devmgmt.msc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Диспетчер устройств</w:t>
            </w:r>
          </w:p>
        </w:tc>
      </w:tr>
      <w:tr>
        <w:trPr>
          <w:cantSplit w:val="0"/>
          <w:trHeight w:val="365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gpedit.msc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Групповая политика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ntmsoprq.msc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Запрос операторов съемных ОЗУ</w:t>
            </w:r>
          </w:p>
        </w:tc>
      </w:tr>
      <w:tr>
        <w:trPr>
          <w:cantSplit w:val="0"/>
          <w:trHeight w:val="365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wmimgmt.msc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Инфраструктура управления</w:t>
            </w:r>
          </w:p>
        </w:tc>
      </w:tr>
      <w:tr>
        <w:trPr>
          <w:cantSplit w:val="0"/>
          <w:trHeight w:val="413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secpol.msc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Локальные параметры безопасности</w:t>
            </w:r>
          </w:p>
        </w:tc>
      </w:tr>
      <w:tr>
        <w:trPr>
          <w:cantSplit w:val="0"/>
          <w:trHeight w:val="365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lusrmgr.msc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Локальные пользователи и группы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8.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fsmgmt.msc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Общие папки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9.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perfmon.msc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Производительность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10.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eventvwr.msc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Просмотр событий</w:t>
            </w:r>
          </w:p>
        </w:tc>
      </w:tr>
      <w:tr>
        <w:trPr>
          <w:cantSplit w:val="0"/>
          <w:trHeight w:val="365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11.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rsop.msc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Результирующая политика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12.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certmgr.msc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Сертификаты</w:t>
            </w:r>
          </w:p>
        </w:tc>
      </w:tr>
      <w:tr>
        <w:trPr>
          <w:cantSplit w:val="0"/>
          <w:trHeight w:val="360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13.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services.msc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Службы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14.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ciadv.msc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Служба индексирования</w:t>
            </w:r>
          </w:p>
        </w:tc>
      </w:tr>
      <w:tr>
        <w:trPr>
          <w:cantSplit w:val="0"/>
          <w:trHeight w:val="365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15.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ntmsmgr.msc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Съемные ЗУ</w:t>
            </w:r>
          </w:p>
        </w:tc>
      </w:tr>
      <w:tr>
        <w:trPr>
          <w:cantSplit w:val="0"/>
          <w:trHeight w:val="418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16.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diskmgmt.msc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Управление дисками</w:t>
            </w:r>
          </w:p>
        </w:tc>
      </w:tr>
      <w:tr>
        <w:trPr>
          <w:cantSplit w:val="0"/>
          <w:trHeight w:val="394" w:hRule="atLeast"/>
          <w:tblHeader w:val="0"/>
        </w:trPr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26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17.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compmgmt.msc</w:t>
            </w:r>
          </w:p>
        </w:tc>
        <w:tc>
          <w:tcPr>
            <w:shd w:fill="ffffff" w:val="clear"/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120" w:right="0" w:firstLine="0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Управление компьютером</w:t>
            </w:r>
          </w:p>
        </w:tc>
      </w:tr>
    </w:tbl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"/>
          <w:szCs w:val="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95" w:line="240" w:lineRule="auto"/>
        <w:ind w:left="708" w:right="0" w:firstLine="708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sectPr>
          <w:headerReference r:id="rId19" w:type="default"/>
          <w:headerReference r:id="rId20" w:type="first"/>
          <w:headerReference r:id="rId21" w:type="even"/>
          <w:footerReference r:id="rId22" w:type="default"/>
          <w:footerReference r:id="rId23" w:type="first"/>
          <w:footerReference r:id="rId24" w:type="even"/>
          <w:pgSz w:h="16838" w:w="11909" w:orient="portrait"/>
          <w:pgMar w:bottom="1134" w:top="1134" w:left="1134" w:right="851" w:header="0" w:footer="3"/>
          <w:pgNumType w:start="1"/>
        </w:sect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Примечание. Файлы консоли MMC расположены в системном каталоге C:\WINDOWS\system32\ или %Systemroot%\system32\. Пример запуска консоли dfrg.msc из командной строки: mmc %Systemroot%\system32\dfrg.msc.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nextPage"/>
      <w:pgSz w:h="16838" w:w="11909" w:orient="portrait"/>
      <w:pgMar w:bottom="1134" w:top="1134" w:left="1134" w:right="851" w:header="708" w:footer="708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Times New Roman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6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7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"/>
        <w:szCs w:val="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2946400</wp:posOffset>
              </wp:positionH>
              <wp:positionV relativeFrom="paragraph">
                <wp:posOffset>9652000</wp:posOffset>
              </wp:positionV>
              <wp:extent cx="149860" cy="170180"/>
              <wp:effectExtent b="0" l="0" r="0" t="0"/>
              <wp:wrapNone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5275833" y="3699673"/>
                        <a:ext cx="14033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ourier New" w:cs="Courier New" w:eastAsia="Courier New" w:hAnsi="Courier New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26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ourier New" w:cs="Courier New" w:eastAsia="Courier New" w:hAnsi="Courier New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2946400</wp:posOffset>
              </wp:positionH>
              <wp:positionV relativeFrom="paragraph">
                <wp:posOffset>9652000</wp:posOffset>
              </wp:positionV>
              <wp:extent cx="149860" cy="170180"/>
              <wp:effectExtent b="0" l="0" r="0" t="0"/>
              <wp:wrapNone/>
              <wp:docPr id="1" name="image13.png"/>
              <a:graphic>
                <a:graphicData uri="http://schemas.openxmlformats.org/drawingml/2006/picture">
                  <pic:pic>
                    <pic:nvPicPr>
                      <pic:cNvPr id="0" name="image1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860" cy="17018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8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"/>
        <w:szCs w:val="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2984500</wp:posOffset>
              </wp:positionH>
              <wp:positionV relativeFrom="paragraph">
                <wp:posOffset>9906000</wp:posOffset>
              </wp:positionV>
              <wp:extent cx="149860" cy="170180"/>
              <wp:effectExtent b="0" l="0" r="0" t="0"/>
              <wp:wrapNone/>
              <wp:docPr id="2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5275833" y="3699673"/>
                        <a:ext cx="140335" cy="1606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ourier New" w:cs="Courier New" w:eastAsia="Courier New" w:hAnsi="Courier New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 PAGE \* MERGEFORMAT </w:t>
                          </w: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2"/>
                              <w:vertAlign w:val="baseline"/>
                            </w:rPr>
                            <w:t xml:space="preserve">12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Courier New" w:cs="Courier New" w:eastAsia="Courier New" w:hAnsi="Courier New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2984500</wp:posOffset>
              </wp:positionH>
              <wp:positionV relativeFrom="paragraph">
                <wp:posOffset>9906000</wp:posOffset>
              </wp:positionV>
              <wp:extent cx="149860" cy="170180"/>
              <wp:effectExtent b="0" l="0" r="0" t="0"/>
              <wp:wrapNone/>
              <wp:docPr id="2" name="image14.png"/>
              <a:graphic>
                <a:graphicData uri="http://schemas.openxmlformats.org/drawingml/2006/picture">
                  <pic:pic>
                    <pic:nvPicPr>
                      <pic:cNvPr id="0" name="image1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49860" cy="17018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3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4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"/>
        <w:szCs w:val="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5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Courier New" w:cs="Courier New" w:eastAsia="Courier New" w:hAnsi="Courier New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1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2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0"/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2">
    <w:lvl w:ilvl="0">
      <w:start w:val="1"/>
      <w:numFmt w:val="decimal"/>
      <w:lvlText w:val="%1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1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2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0"/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3">
    <w:lvl w:ilvl="0">
      <w:start w:val="1"/>
      <w:numFmt w:val="bullet"/>
      <w:lvlText w:val="•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1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2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3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0"/>
      <w:numFmt w:val="decimal"/>
      <w:lvlText w:val=""/>
      <w:lvlJc w:val="left"/>
      <w:pPr>
        <w:ind w:left="0" w:firstLine="0"/>
      </w:pPr>
      <w:rPr>
        <w:vertAlign w:val="baseline"/>
      </w:rPr>
    </w:lvl>
  </w:abstractNum>
  <w:abstractNum w:abstractNumId="4">
    <w:lvl w:ilvl="0">
      <w:start w:val="1"/>
      <w:numFmt w:val="decimal"/>
      <w:lvlText w:val="%1)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1">
      <w:start w:val="3"/>
      <w:numFmt w:val="decimal"/>
      <w:lvlText w:val="%1.%2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2">
      <w:start w:val="1"/>
      <w:numFmt w:val="decimal"/>
      <w:lvlText w:val="%1.%2.%3."/>
      <w:lvlJc w:val="left"/>
      <w:pPr>
        <w:ind w:left="0" w:firstLine="0"/>
      </w:pPr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vertAlign w:val="baseline"/>
      </w:rPr>
    </w:lvl>
    <w:lvl w:ilvl="3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4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5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6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7">
      <w:start w:val="0"/>
      <w:numFmt w:val="decimal"/>
      <w:lvlText w:val=""/>
      <w:lvlJc w:val="left"/>
      <w:pPr>
        <w:ind w:left="0" w:firstLine="0"/>
      </w:pPr>
      <w:rPr>
        <w:vertAlign w:val="baseline"/>
      </w:rPr>
    </w:lvl>
    <w:lvl w:ilvl="8">
      <w:start w:val="0"/>
      <w:numFmt w:val="decimal"/>
      <w:lvlText w:val=""/>
      <w:lvlJc w:val="left"/>
      <w:pPr>
        <w:ind w:left="0" w:firstLine="0"/>
      </w:pPr>
      <w:rPr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Обычный">
    <w:name w:val="Обычный"/>
    <w:next w:val="Обычный"/>
    <w:autoRedefine w:val="0"/>
    <w:hidden w:val="0"/>
    <w:qFormat w:val="0"/>
    <w:pPr>
      <w:widowControl w:val="0"/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Courier New" w:cs="Courier New" w:eastAsia="Courier New" w:hAnsi="Courier New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Основнойшрифтабзаца">
    <w:name w:val="Основной шрифт абзаца"/>
    <w:next w:val="Основнойшрифтабзаца"/>
    <w:autoRedefine w:val="0"/>
    <w:hidden w:val="0"/>
    <w:qFormat w:val="1"/>
    <w:rPr>
      <w:w w:val="100"/>
      <w:position w:val="-1"/>
      <w:effect w:val="none"/>
      <w:vertAlign w:val="baseline"/>
      <w:cs w:val="0"/>
      <w:em w:val="none"/>
      <w:lang/>
    </w:rPr>
  </w:style>
  <w:style w:type="table" w:styleId="Обычнаятаблица">
    <w:name w:val="Обычная таблица"/>
    <w:next w:val="Обычнаятаблица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w w:val="100"/>
      <w:position w:val="-1"/>
      <w:effect w:val="none"/>
      <w:vertAlign w:val="baseline"/>
      <w:cs w:val="0"/>
      <w:em w:val="none"/>
      <w:lang/>
    </w:rPr>
    <w:tblPr>
      <w:jc w:val="left"/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Нетсписка">
    <w:name w:val="Нет списка"/>
    <w:next w:val="Нетсписка"/>
    <w:autoRedefine w:val="0"/>
    <w:hidden w:val="0"/>
    <w:qFormat w:val="1"/>
    <w:pPr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</w:style>
  <w:style w:type="character" w:styleId="Гиперссылка">
    <w:name w:val="Гиперссылка"/>
    <w:next w:val="Гиперссылка"/>
    <w:autoRedefine w:val="0"/>
    <w:hidden w:val="0"/>
    <w:qFormat w:val="0"/>
    <w:rPr>
      <w:color w:val="0066cc"/>
      <w:w w:val="100"/>
      <w:position w:val="-1"/>
      <w:u w:val="single"/>
      <w:effect w:val="none"/>
      <w:vertAlign w:val="baseline"/>
      <w:cs w:val="0"/>
      <w:em w:val="none"/>
      <w:lang/>
    </w:rPr>
  </w:style>
  <w:style w:type="character" w:styleId="Основнойтекст_">
    <w:name w:val="Основной текст_"/>
    <w:next w:val="Основнойтекст_"/>
    <w:autoRedefine w:val="0"/>
    <w:hidden w:val="0"/>
    <w:qFormat w:val="0"/>
    <w:rPr>
      <w:rFonts w:ascii="Times New Roman" w:cs="Times New Roman" w:eastAsia="Times New Roman" w:hAnsi="Times New Roman"/>
      <w:w w:val="100"/>
      <w:position w:val="-1"/>
      <w:sz w:val="28"/>
      <w:szCs w:val="28"/>
      <w:effect w:val="none"/>
      <w:shd w:color="auto" w:fill="ffffff" w:val="clear"/>
      <w:vertAlign w:val="baseline"/>
      <w:cs w:val="0"/>
      <w:em w:val="none"/>
      <w:lang/>
    </w:rPr>
  </w:style>
  <w:style w:type="character" w:styleId="Основнойтекст1">
    <w:name w:val="Основной текст1"/>
    <w:next w:val="Основнойтекст1"/>
    <w:autoRedefine w:val="0"/>
    <w:hidden w:val="0"/>
    <w:qFormat w:val="0"/>
    <w:rPr>
      <w:rFonts w:ascii="Times New Roman" w:cs="Times New Roman" w:eastAsia="Times New Roman" w:hAnsi="Times New Roman"/>
      <w:color w:val="000000"/>
      <w:spacing w:val="0"/>
      <w:w w:val="100"/>
      <w:position w:val="0"/>
      <w:sz w:val="28"/>
      <w:szCs w:val="28"/>
      <w:u w:val="single"/>
      <w:effect w:val="none"/>
      <w:shd w:color="auto" w:fill="ffffff" w:val="clear"/>
      <w:vertAlign w:val="baseline"/>
      <w:cs w:val="0"/>
      <w:em w:val="none"/>
      <w:lang w:val="ru-RU"/>
    </w:rPr>
  </w:style>
  <w:style w:type="character" w:styleId="Колонтитул_">
    <w:name w:val="Колонтитул_"/>
    <w:next w:val="Колонтитул_"/>
    <w:autoRedefine w:val="0"/>
    <w:hidden w:val="0"/>
    <w:qFormat w:val="0"/>
    <w:rPr>
      <w:rFonts w:ascii="Times New Roman" w:cs="Times New Roman" w:eastAsia="Times New Roman" w:hAnsi="Times New Roman"/>
      <w:w w:val="100"/>
      <w:position w:val="-1"/>
      <w:sz w:val="28"/>
      <w:szCs w:val="28"/>
      <w:u w:val="none"/>
      <w:effect w:val="none"/>
      <w:vertAlign w:val="baseline"/>
      <w:cs w:val="0"/>
      <w:em w:val="none"/>
      <w:lang/>
    </w:rPr>
  </w:style>
  <w:style w:type="character" w:styleId="Колонтитул+11pt">
    <w:name w:val="Колонтитул + 11 pt"/>
    <w:next w:val="Колонтитул+11pt"/>
    <w:autoRedefine w:val="0"/>
    <w:hidden w:val="0"/>
    <w:qFormat w:val="0"/>
    <w:rPr>
      <w:rFonts w:ascii="Times New Roman" w:cs="Times New Roman" w:eastAsia="Times New Roman" w:hAnsi="Times New Roman"/>
      <w:color w:val="000000"/>
      <w:spacing w:val="0"/>
      <w:w w:val="100"/>
      <w:position w:val="0"/>
      <w:sz w:val="22"/>
      <w:szCs w:val="22"/>
      <w:u w:val="none"/>
      <w:effect w:val="none"/>
      <w:vertAlign w:val="baseline"/>
      <w:cs w:val="0"/>
      <w:em w:val="none"/>
      <w:lang/>
    </w:rPr>
  </w:style>
  <w:style w:type="character" w:styleId="Подписьктаблице_">
    <w:name w:val="Подпись к таблице_"/>
    <w:next w:val="Подписьктаблице_"/>
    <w:autoRedefine w:val="0"/>
    <w:hidden w:val="0"/>
    <w:qFormat w:val="0"/>
    <w:rPr>
      <w:rFonts w:ascii="Times New Roman" w:cs="Times New Roman" w:eastAsia="Times New Roman" w:hAnsi="Times New Roman"/>
      <w:w w:val="100"/>
      <w:position w:val="-1"/>
      <w:sz w:val="28"/>
      <w:szCs w:val="28"/>
      <w:effect w:val="none"/>
      <w:shd w:color="auto" w:fill="ffffff" w:val="clear"/>
      <w:vertAlign w:val="baseline"/>
      <w:cs w:val="0"/>
      <w:em w:val="none"/>
      <w:lang/>
    </w:rPr>
  </w:style>
  <w:style w:type="character" w:styleId="Колонтитул">
    <w:name w:val="Колонтитул"/>
    <w:next w:val="Колонтитул"/>
    <w:autoRedefine w:val="0"/>
    <w:hidden w:val="0"/>
    <w:qFormat w:val="0"/>
    <w:rPr>
      <w:rFonts w:ascii="Times New Roman" w:cs="Times New Roman" w:eastAsia="Times New Roman" w:hAnsi="Times New Roman"/>
      <w:color w:val="000000"/>
      <w:spacing w:val="0"/>
      <w:w w:val="100"/>
      <w:position w:val="0"/>
      <w:sz w:val="28"/>
      <w:szCs w:val="28"/>
      <w:u w:val="none"/>
      <w:effect w:val="none"/>
      <w:vertAlign w:val="baseline"/>
      <w:cs w:val="0"/>
      <w:em w:val="none"/>
      <w:lang w:val="ru-RU"/>
    </w:rPr>
  </w:style>
  <w:style w:type="character" w:styleId="Колонтитул(2)">
    <w:name w:val="Колонтитул (2)"/>
    <w:next w:val="Колонтитул(2)"/>
    <w:autoRedefine w:val="0"/>
    <w:hidden w:val="0"/>
    <w:qFormat w:val="0"/>
    <w:rPr>
      <w:rFonts w:ascii="Times New Roman" w:cs="Times New Roman" w:eastAsia="Times New Roman" w:hAnsi="Times New Roman"/>
      <w:w w:val="100"/>
      <w:position w:val="-1"/>
      <w:sz w:val="22"/>
      <w:szCs w:val="22"/>
      <w:u w:val="none"/>
      <w:effect w:val="none"/>
      <w:vertAlign w:val="baseline"/>
      <w:cs w:val="0"/>
      <w:em w:val="none"/>
      <w:lang/>
    </w:rPr>
  </w:style>
  <w:style w:type="character" w:styleId="Заголовок№5_">
    <w:name w:val="Заголовок №5_"/>
    <w:next w:val="Заголовок№5_"/>
    <w:autoRedefine w:val="0"/>
    <w:hidden w:val="0"/>
    <w:qFormat w:val="0"/>
    <w:rPr>
      <w:rFonts w:ascii="Times New Roman" w:cs="Times New Roman" w:eastAsia="Times New Roman" w:hAnsi="Times New Roman"/>
      <w:w w:val="100"/>
      <w:position w:val="-1"/>
      <w:sz w:val="28"/>
      <w:szCs w:val="28"/>
      <w:effect w:val="none"/>
      <w:shd w:color="auto" w:fill="ffffff" w:val="clear"/>
      <w:vertAlign w:val="baseline"/>
      <w:cs w:val="0"/>
      <w:em w:val="none"/>
      <w:lang/>
    </w:rPr>
  </w:style>
  <w:style w:type="character" w:styleId="Основнойтекст+Курсив">
    <w:name w:val="Основной текст + Курсив"/>
    <w:next w:val="Основнойтекст+Курсив"/>
    <w:autoRedefine w:val="0"/>
    <w:hidden w:val="0"/>
    <w:qFormat w:val="0"/>
    <w:rPr>
      <w:rFonts w:ascii="Times New Roman" w:cs="Times New Roman" w:eastAsia="Times New Roman" w:hAnsi="Times New Roman"/>
      <w:i w:val="1"/>
      <w:iCs w:val="1"/>
      <w:color w:val="000000"/>
      <w:spacing w:val="0"/>
      <w:w w:val="100"/>
      <w:position w:val="0"/>
      <w:sz w:val="28"/>
      <w:szCs w:val="28"/>
      <w:effect w:val="none"/>
      <w:shd w:color="auto" w:fill="ffffff" w:val="clear"/>
      <w:vertAlign w:val="baseline"/>
      <w:cs w:val="0"/>
      <w:em w:val="none"/>
      <w:lang w:val="ru-RU"/>
    </w:rPr>
  </w:style>
  <w:style w:type="paragraph" w:styleId="Основнойтекст3">
    <w:name w:val="Основной текст3"/>
    <w:basedOn w:val="Обычный"/>
    <w:next w:val="Основнойтекст3"/>
    <w:autoRedefine w:val="0"/>
    <w:hidden w:val="0"/>
    <w:qFormat w:val="0"/>
    <w:pPr>
      <w:widowControl w:val="0"/>
      <w:shd w:color="auto" w:fill="ffffff" w:val="clear"/>
      <w:suppressAutoHyphens w:val="1"/>
      <w:spacing w:after="300" w:before="420" w:line="0" w:lineRule="atLeast"/>
      <w:ind w:leftChars="-1" w:rightChars="0" w:hanging="1980" w:firstLineChars="-1"/>
      <w:jc w:val="center"/>
      <w:textDirection w:val="btLr"/>
      <w:textAlignment w:val="top"/>
      <w:outlineLvl w:val="0"/>
    </w:pPr>
    <w:rPr>
      <w:rFonts w:ascii="Times New Roman" w:cs="Times New Roman" w:eastAsia="Times New Roman" w:hAnsi="Times New Roman"/>
      <w:color w:val="auto"/>
      <w:w w:val="100"/>
      <w:position w:val="-1"/>
      <w:sz w:val="28"/>
      <w:szCs w:val="28"/>
      <w:effect w:val="none"/>
      <w:vertAlign w:val="baseline"/>
      <w:cs w:val="0"/>
      <w:em w:val="none"/>
      <w:lang w:bidi="ar-SA" w:eastAsia="en-US" w:val="ru-RU"/>
    </w:rPr>
  </w:style>
  <w:style w:type="paragraph" w:styleId="Подписьктаблице">
    <w:name w:val="Подпись к таблице"/>
    <w:basedOn w:val="Обычный"/>
    <w:next w:val="Подписьктаблице"/>
    <w:autoRedefine w:val="0"/>
    <w:hidden w:val="0"/>
    <w:qFormat w:val="0"/>
    <w:pPr>
      <w:widowControl w:val="0"/>
      <w:shd w:color="auto" w:fill="ffffff" w:val="clear"/>
      <w:suppressAutoHyphens w:val="1"/>
      <w:spacing w:line="0" w:lineRule="atLeast"/>
      <w:ind w:leftChars="-1" w:rightChars="0" w:firstLineChars="-1"/>
      <w:textDirection w:val="btLr"/>
      <w:textAlignment w:val="top"/>
      <w:outlineLvl w:val="0"/>
    </w:pPr>
    <w:rPr>
      <w:rFonts w:ascii="Times New Roman" w:cs="Times New Roman" w:eastAsia="Times New Roman" w:hAnsi="Times New Roman"/>
      <w:color w:val="auto"/>
      <w:w w:val="100"/>
      <w:position w:val="-1"/>
      <w:sz w:val="28"/>
      <w:szCs w:val="28"/>
      <w:effect w:val="none"/>
      <w:vertAlign w:val="baseline"/>
      <w:cs w:val="0"/>
      <w:em w:val="none"/>
      <w:lang w:bidi="ar-SA" w:eastAsia="en-US" w:val="ru-RU"/>
    </w:rPr>
  </w:style>
  <w:style w:type="paragraph" w:styleId="Заголовок№5">
    <w:name w:val="Заголовок №5"/>
    <w:basedOn w:val="Обычный"/>
    <w:next w:val="Заголовок№5"/>
    <w:autoRedefine w:val="0"/>
    <w:hidden w:val="0"/>
    <w:qFormat w:val="0"/>
    <w:pPr>
      <w:widowControl w:val="0"/>
      <w:shd w:color="auto" w:fill="ffffff" w:val="clear"/>
      <w:suppressAutoHyphens w:val="1"/>
      <w:spacing w:after="360" w:before="360" w:line="0" w:lineRule="atLeast"/>
      <w:ind w:leftChars="-1" w:rightChars="0" w:firstLineChars="-1"/>
      <w:textDirection w:val="btLr"/>
      <w:textAlignment w:val="top"/>
      <w:outlineLvl w:val="4"/>
    </w:pPr>
    <w:rPr>
      <w:rFonts w:ascii="Times New Roman" w:cs="Times New Roman" w:eastAsia="Times New Roman" w:hAnsi="Times New Roman"/>
      <w:color w:val="auto"/>
      <w:w w:val="100"/>
      <w:position w:val="-1"/>
      <w:sz w:val="28"/>
      <w:szCs w:val="28"/>
      <w:effect w:val="none"/>
      <w:vertAlign w:val="baseline"/>
      <w:cs w:val="0"/>
      <w:em w:val="none"/>
      <w:lang w:bidi="ar-SA" w:eastAsia="en-US" w:val="ru-RU"/>
    </w:rPr>
  </w:style>
  <w:style w:type="paragraph" w:styleId="Абзацсписка">
    <w:name w:val="Абзац списка"/>
    <w:basedOn w:val="Обычный"/>
    <w:next w:val="Абзацсписка"/>
    <w:autoRedefine w:val="0"/>
    <w:hidden w:val="0"/>
    <w:qFormat w:val="0"/>
    <w:pPr>
      <w:widowControl w:val="0"/>
      <w:suppressAutoHyphens w:val="1"/>
      <w:spacing w:line="1" w:lineRule="atLeast"/>
      <w:ind w:left="720" w:leftChars="-1" w:rightChars="0" w:firstLineChars="-1"/>
      <w:contextualSpacing w:val="1"/>
      <w:textDirection w:val="btLr"/>
      <w:textAlignment w:val="top"/>
      <w:outlineLvl w:val="0"/>
    </w:pPr>
    <w:rPr>
      <w:rFonts w:ascii="Courier New" w:cs="Courier New" w:eastAsia="Courier New" w:hAnsi="Courier New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paragraph" w:styleId="Верхнийколонтитул">
    <w:name w:val="Верхний колонтитул"/>
    <w:basedOn w:val="Обычный"/>
    <w:next w:val="Верхнийколонтитул"/>
    <w:autoRedefine w:val="0"/>
    <w:hidden w:val="0"/>
    <w:qFormat w:val="1"/>
    <w:pPr>
      <w:widowControl w:val="0"/>
      <w:tabs>
        <w:tab w:val="center" w:leader="none" w:pos="4677"/>
        <w:tab w:val="right" w:leader="none" w:pos="9355"/>
      </w:tabs>
      <w:suppressAutoHyphens w:val="1"/>
      <w:spacing w:line="1" w:lineRule="atLeast"/>
      <w:ind w:leftChars="-1" w:rightChars="0" w:firstLineChars="-1"/>
      <w:textDirection w:val="btLr"/>
      <w:textAlignment w:val="top"/>
      <w:outlineLvl w:val="0"/>
    </w:pPr>
    <w:rPr>
      <w:rFonts w:ascii="Courier New" w:cs="Courier New" w:eastAsia="Courier New" w:hAnsi="Courier New"/>
      <w:color w:val="000000"/>
      <w:w w:val="100"/>
      <w:position w:val="-1"/>
      <w:sz w:val="24"/>
      <w:szCs w:val="24"/>
      <w:effect w:val="none"/>
      <w:vertAlign w:val="baseline"/>
      <w:cs w:val="0"/>
      <w:em w:val="none"/>
      <w:lang w:bidi="ar-SA" w:eastAsia="ru-RU" w:val="ru-RU"/>
    </w:rPr>
  </w:style>
  <w:style w:type="character" w:styleId="ВерхнийколонтитулЗнак">
    <w:name w:val="Верхний колонтитул Знак"/>
    <w:next w:val="ВерхнийколонтитулЗнак"/>
    <w:autoRedefine w:val="0"/>
    <w:hidden w:val="0"/>
    <w:qFormat w:val="0"/>
    <w:rPr>
      <w:rFonts w:ascii="Courier New" w:cs="Courier New" w:eastAsia="Courier New" w:hAnsi="Courier New"/>
      <w:color w:val="000000"/>
      <w:w w:val="100"/>
      <w:position w:val="-1"/>
      <w:sz w:val="24"/>
      <w:szCs w:val="24"/>
      <w:effect w:val="none"/>
      <w:vertAlign w:val="baseline"/>
      <w:cs w:val="0"/>
      <w:em w:val="none"/>
      <w:lang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.0" w:type="dxa"/>
        <w:bottom w:w="0.0" w:type="dxa"/>
        <w:right w:w="1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eader" Target="header1.xml"/><Relationship Id="rId11" Type="http://schemas.openxmlformats.org/officeDocument/2006/relationships/image" Target="media/image5.png"/><Relationship Id="rId22" Type="http://schemas.openxmlformats.org/officeDocument/2006/relationships/footer" Target="footer3.xml"/><Relationship Id="rId10" Type="http://schemas.openxmlformats.org/officeDocument/2006/relationships/image" Target="media/image2.png"/><Relationship Id="rId21" Type="http://schemas.openxmlformats.org/officeDocument/2006/relationships/header" Target="header2.xml"/><Relationship Id="rId13" Type="http://schemas.openxmlformats.org/officeDocument/2006/relationships/image" Target="media/image4.png"/><Relationship Id="rId24" Type="http://schemas.openxmlformats.org/officeDocument/2006/relationships/footer" Target="footer2.xml"/><Relationship Id="rId12" Type="http://schemas.openxmlformats.org/officeDocument/2006/relationships/image" Target="media/image12.png"/><Relationship Id="rId23" Type="http://schemas.openxmlformats.org/officeDocument/2006/relationships/footer" Target="foot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15" Type="http://schemas.openxmlformats.org/officeDocument/2006/relationships/image" Target="media/image8.png"/><Relationship Id="rId14" Type="http://schemas.openxmlformats.org/officeDocument/2006/relationships/image" Target="media/image11.png"/><Relationship Id="rId17" Type="http://schemas.openxmlformats.org/officeDocument/2006/relationships/image" Target="media/image10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19" Type="http://schemas.openxmlformats.org/officeDocument/2006/relationships/header" Target="header3.xml"/><Relationship Id="rId6" Type="http://schemas.openxmlformats.org/officeDocument/2006/relationships/customXml" Target="../customXML/item1.xml"/><Relationship Id="rId18" Type="http://schemas.openxmlformats.org/officeDocument/2006/relationships/image" Target="media/image7.png"/><Relationship Id="rId7" Type="http://schemas.openxmlformats.org/officeDocument/2006/relationships/image" Target="media/image1.png"/><Relationship Id="rId8" Type="http://schemas.openxmlformats.org/officeDocument/2006/relationships/image" Target="media/image6.png"/></Relationships>
</file>

<file path=word/_rels/footer2.xml.rels><?xml version="1.0" encoding="UTF-8" standalone="yes"?><Relationships xmlns="http://schemas.openxmlformats.org/package/2006/relationships"><Relationship Id="rId1" Type="http://schemas.openxmlformats.org/officeDocument/2006/relationships/image" Target="media/image13.png"/></Relationships>
</file>

<file path=word/_rels/footer3.xml.rels><?xml version="1.0" encoding="UTF-8" standalone="yes"?>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lpAwqZr7qsAEQIh3fLOtAIVQjMQ==">CgMxLjAyCWlkLmdqZGd4czIJaWQudHlqY3d0MgppZC4zZHk2dmttOAByITFWVHB6bVdEalFJaVBBOGlVZWdLd3Q5MVBTbE9pWUQwQQ==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2013-10-12T18:26:00Z</dcterms:created>
  <dc:creator>Ilya M</dc:creator>
</cp:coreProperties>
</file>